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Texto Institucional 01: Seu projeto em um único lugar. Arquitetura e urbanismo com qualidade, confiabilidade e responsabilidade socioambiental.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Texto Institucional 02: Arquitetura e urbanismo com qualidade, confiabilidade e responsabilidade socioambiental.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Texto Institucional 03: Espaço diferenciado na área de arquitetura e urbanismo, todo o seu projeto arquitetônico e urbanístico em um só lugar.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Missão: Criar um espaço diferenciado na área de arquitetura e urbanismo, possibilitando aos clientes diferentes tipos de serviço em um só lugar, com qualidade profissional e responsabilidade socioambiental.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Visão: Oferecer as melhores soluções arquitetônicas e urbanas, dentro de uma arquitetura humana, criativa e transformadora.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Valores: Responsabilidade socioambiental, transparência, ética, diversidade, qualidade técnica e crescimento colaborativo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